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9BAE" w14:textId="6D1AA3FC" w:rsidR="006D4DCF" w:rsidRDefault="002743DA">
      <w:pPr>
        <w:pStyle w:val="Heading1"/>
        <w:rPr>
          <w:u w:val="none"/>
        </w:rPr>
      </w:pPr>
      <w:r>
        <w:t xml:space="preserve">Formulário de </w:t>
      </w:r>
      <w:r w:rsidR="00320B95">
        <w:t>A</w:t>
      </w:r>
      <w:r>
        <w:t xml:space="preserve">valiação de Justiça </w:t>
      </w:r>
      <w:r w:rsidR="00320B95">
        <w:t>A</w:t>
      </w:r>
      <w:r>
        <w:t>mbiental</w:t>
      </w:r>
    </w:p>
    <w:p w14:paraId="352F129E" w14:textId="77777777" w:rsidR="006D4DCF" w:rsidRDefault="006D4DCF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5665"/>
      </w:tblGrid>
      <w:tr w:rsidR="006D4DCF" w14:paraId="41E14FB9" w14:textId="77777777">
        <w:trPr>
          <w:trHeight w:val="388"/>
        </w:trPr>
        <w:tc>
          <w:tcPr>
            <w:tcW w:w="3685" w:type="dxa"/>
          </w:tcPr>
          <w:p w14:paraId="69E9F7E9" w14:textId="77777777" w:rsidR="006D4DCF" w:rsidRDefault="002743DA">
            <w:pPr>
              <w:pStyle w:val="TableParagraph"/>
              <w:spacing w:line="240" w:lineRule="auto"/>
            </w:pPr>
            <w:r>
              <w:t>Nome do projeto</w:t>
            </w:r>
          </w:p>
        </w:tc>
        <w:tc>
          <w:tcPr>
            <w:tcW w:w="5665" w:type="dxa"/>
          </w:tcPr>
          <w:p w14:paraId="4FD88E8B" w14:textId="464E1296" w:rsidR="006D4DCF" w:rsidRDefault="00D55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lang w:val="pt-PT"/>
              </w:rPr>
              <w:t>Interconexão de água suplementar do distrito aquático de Lynnfield Center com Wakefield/MWRA</w:t>
            </w:r>
          </w:p>
        </w:tc>
      </w:tr>
      <w:tr w:rsidR="006D4DCF" w14:paraId="6D28602C" w14:textId="77777777">
        <w:trPr>
          <w:trHeight w:val="388"/>
        </w:trPr>
        <w:tc>
          <w:tcPr>
            <w:tcW w:w="3685" w:type="dxa"/>
          </w:tcPr>
          <w:p w14:paraId="7BBC5541" w14:textId="77777777" w:rsidR="006D4DCF" w:rsidRDefault="002743DA">
            <w:pPr>
              <w:pStyle w:val="TableParagraph"/>
              <w:spacing w:line="240" w:lineRule="auto"/>
            </w:pPr>
            <w:r>
              <w:t>Data prevista de protocolo do MEPA</w:t>
            </w:r>
          </w:p>
        </w:tc>
        <w:tc>
          <w:tcPr>
            <w:tcW w:w="5665" w:type="dxa"/>
          </w:tcPr>
          <w:p w14:paraId="031F91C8" w14:textId="29F8487E" w:rsidR="006D4DCF" w:rsidRDefault="00D55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lang w:val="pt-PT"/>
              </w:rPr>
              <w:t>17 de julho de 2023</w:t>
            </w:r>
          </w:p>
        </w:tc>
      </w:tr>
      <w:tr w:rsidR="00D55451" w14:paraId="461A547E" w14:textId="77777777">
        <w:trPr>
          <w:trHeight w:val="388"/>
        </w:trPr>
        <w:tc>
          <w:tcPr>
            <w:tcW w:w="3685" w:type="dxa"/>
          </w:tcPr>
          <w:p w14:paraId="40FE72DF" w14:textId="77777777" w:rsidR="00D55451" w:rsidRDefault="00D55451" w:rsidP="00D55451">
            <w:pPr>
              <w:pStyle w:val="TableParagraph"/>
              <w:spacing w:line="240" w:lineRule="auto"/>
            </w:pPr>
            <w:r>
              <w:t>Nome do proponente</w:t>
            </w:r>
          </w:p>
        </w:tc>
        <w:tc>
          <w:tcPr>
            <w:tcW w:w="5665" w:type="dxa"/>
          </w:tcPr>
          <w:p w14:paraId="7C899B5E" w14:textId="73D68BA3" w:rsidR="00D55451" w:rsidRDefault="00320B95" w:rsidP="00D55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lang w:val="pt-PT"/>
              </w:rPr>
              <w:t xml:space="preserve">Centro Lynnfield </w:t>
            </w:r>
            <w:r w:rsidR="00D55451">
              <w:rPr>
                <w:lang w:val="pt-PT"/>
              </w:rPr>
              <w:t xml:space="preserve">Distrito </w:t>
            </w:r>
            <w:r>
              <w:rPr>
                <w:lang w:val="pt-PT"/>
              </w:rPr>
              <w:t>de Água</w:t>
            </w:r>
            <w:r w:rsidR="00D55451">
              <w:rPr>
                <w:lang w:val="pt-PT"/>
              </w:rPr>
              <w:t xml:space="preserve"> (LCWD)</w:t>
            </w:r>
          </w:p>
        </w:tc>
      </w:tr>
      <w:tr w:rsidR="00D55451" w:rsidRPr="00320B95" w14:paraId="0B87DCAC" w14:textId="77777777">
        <w:trPr>
          <w:trHeight w:val="388"/>
        </w:trPr>
        <w:tc>
          <w:tcPr>
            <w:tcW w:w="3685" w:type="dxa"/>
          </w:tcPr>
          <w:p w14:paraId="7B283C9D" w14:textId="77777777" w:rsidR="00D55451" w:rsidRDefault="00D55451" w:rsidP="00D55451">
            <w:pPr>
              <w:pStyle w:val="TableParagraph"/>
              <w:spacing w:line="240" w:lineRule="auto"/>
            </w:pPr>
            <w:r>
              <w:t>Informações de contato (por exemplo, consultor)</w:t>
            </w:r>
          </w:p>
        </w:tc>
        <w:tc>
          <w:tcPr>
            <w:tcW w:w="5665" w:type="dxa"/>
          </w:tcPr>
          <w:p w14:paraId="51AA40E1" w14:textId="6C38543C" w:rsidR="00D55451" w:rsidRPr="00B71040" w:rsidRDefault="00D55451" w:rsidP="00D55451">
            <w:pPr>
              <w:pStyle w:val="TableParagraph"/>
              <w:spacing w:line="240" w:lineRule="auto"/>
              <w:ind w:left="0"/>
              <w:rPr>
                <w:rFonts w:ascii="Times New Roman"/>
                <w:lang w:val="en-US"/>
              </w:rPr>
            </w:pPr>
            <w:r w:rsidRPr="00B71040">
              <w:rPr>
                <w:lang w:val="en-US"/>
              </w:rPr>
              <w:t>Danielle Gallant, Gallantdj@cdmsmith.com</w:t>
            </w:r>
          </w:p>
        </w:tc>
      </w:tr>
      <w:tr w:rsidR="00D55451" w14:paraId="40AA5193" w14:textId="77777777">
        <w:trPr>
          <w:trHeight w:val="925"/>
        </w:trPr>
        <w:tc>
          <w:tcPr>
            <w:tcW w:w="3685" w:type="dxa"/>
          </w:tcPr>
          <w:p w14:paraId="7629594B" w14:textId="77777777" w:rsidR="00D55451" w:rsidRDefault="00D55451" w:rsidP="00D55451">
            <w:pPr>
              <w:pStyle w:val="TableParagraph"/>
              <w:spacing w:line="240" w:lineRule="auto"/>
              <w:ind w:right="82"/>
            </w:pPr>
            <w:r>
              <w:t>Site público do projeto ou outro local físico onde os materiais do projeto podem ser obtidos (se disponíveis)</w:t>
            </w:r>
          </w:p>
        </w:tc>
        <w:tc>
          <w:tcPr>
            <w:tcW w:w="5665" w:type="dxa"/>
          </w:tcPr>
          <w:p w14:paraId="2B5395E6" w14:textId="411C95CE" w:rsidR="00D55451" w:rsidRDefault="00D55451" w:rsidP="00D55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lang w:val="pt-PT"/>
              </w:rPr>
              <w:t>N/A</w:t>
            </w:r>
          </w:p>
        </w:tc>
      </w:tr>
      <w:tr w:rsidR="00D55451" w14:paraId="238E26C3" w14:textId="77777777">
        <w:trPr>
          <w:trHeight w:val="657"/>
        </w:trPr>
        <w:tc>
          <w:tcPr>
            <w:tcW w:w="3685" w:type="dxa"/>
          </w:tcPr>
          <w:p w14:paraId="61085702" w14:textId="77777777" w:rsidR="00D55451" w:rsidRDefault="00D55451" w:rsidP="00D55451">
            <w:pPr>
              <w:pStyle w:val="TableParagraph"/>
              <w:spacing w:line="240" w:lineRule="auto"/>
              <w:ind w:right="231"/>
            </w:pPr>
            <w:r>
              <w:t>Município e código postal do Projeto (se souber)</w:t>
            </w:r>
          </w:p>
        </w:tc>
        <w:tc>
          <w:tcPr>
            <w:tcW w:w="5665" w:type="dxa"/>
          </w:tcPr>
          <w:p w14:paraId="17FEC311" w14:textId="26C6591F" w:rsidR="00D55451" w:rsidRDefault="00D55451" w:rsidP="00D55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lang w:val="pt-PT"/>
              </w:rPr>
              <w:t>Lynnfield, MA 01940</w:t>
            </w:r>
          </w:p>
        </w:tc>
      </w:tr>
      <w:tr w:rsidR="00D55451" w14:paraId="4E628075" w14:textId="77777777">
        <w:trPr>
          <w:trHeight w:val="388"/>
        </w:trPr>
        <w:tc>
          <w:tcPr>
            <w:tcW w:w="3685" w:type="dxa"/>
          </w:tcPr>
          <w:p w14:paraId="1F71DA89" w14:textId="641E2788" w:rsidR="00D55451" w:rsidRDefault="00D55451" w:rsidP="00D55451">
            <w:pPr>
              <w:pStyle w:val="TableParagraph"/>
              <w:spacing w:line="240" w:lineRule="auto"/>
            </w:pPr>
            <w:r>
              <w:t>Tipo de projeto* (liste todos os que se aplicam)</w:t>
            </w:r>
          </w:p>
        </w:tc>
        <w:tc>
          <w:tcPr>
            <w:tcW w:w="5665" w:type="dxa"/>
          </w:tcPr>
          <w:p w14:paraId="6DD98F7C" w14:textId="5998D65D" w:rsidR="00D55451" w:rsidRDefault="00D55451" w:rsidP="00D55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lang w:val="pt-PT"/>
              </w:rPr>
              <w:t>Abastecimento de Água – Nova Fonte</w:t>
            </w:r>
          </w:p>
        </w:tc>
      </w:tr>
      <w:tr w:rsidR="00D55451" w14:paraId="3C91B9A7" w14:textId="77777777">
        <w:trPr>
          <w:trHeight w:val="926"/>
        </w:trPr>
        <w:tc>
          <w:tcPr>
            <w:tcW w:w="3685" w:type="dxa"/>
          </w:tcPr>
          <w:p w14:paraId="33E6DE73" w14:textId="0A27ED74" w:rsidR="00D55451" w:rsidRDefault="00D55451" w:rsidP="00D55451">
            <w:pPr>
              <w:pStyle w:val="TableParagraph"/>
              <w:spacing w:line="240" w:lineRule="auto"/>
              <w:ind w:right="342"/>
            </w:pPr>
            <w:r>
              <w:t>O local do projeto está dentro de uma planície de inundação de 100 anos mapeada do FEMA? S/N/Não sei</w:t>
            </w:r>
          </w:p>
        </w:tc>
        <w:tc>
          <w:tcPr>
            <w:tcW w:w="5665" w:type="dxa"/>
          </w:tcPr>
          <w:p w14:paraId="3AF0A25E" w14:textId="35E8D753" w:rsidR="00D55451" w:rsidRDefault="00D55451" w:rsidP="00D55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lang w:val="pt-PT"/>
              </w:rPr>
              <w:t>Não</w:t>
            </w:r>
          </w:p>
        </w:tc>
      </w:tr>
      <w:tr w:rsidR="00D55451" w14:paraId="735E8956" w14:textId="77777777">
        <w:trPr>
          <w:trHeight w:val="925"/>
        </w:trPr>
        <w:tc>
          <w:tcPr>
            <w:tcW w:w="3685" w:type="dxa"/>
          </w:tcPr>
          <w:p w14:paraId="3D8C1CC7" w14:textId="00C66A57" w:rsidR="00D55451" w:rsidRDefault="00D55451" w:rsidP="00D55451">
            <w:pPr>
              <w:pStyle w:val="TableParagraph"/>
              <w:spacing w:line="240" w:lineRule="auto"/>
              <w:ind w:right="506"/>
            </w:pPr>
            <w:r>
              <w:t xml:space="preserve">Emissões estimadas de GEE de espaços condicionados </w:t>
            </w:r>
            <w:hyperlink r:id="rId10">
              <w:r>
                <w:rPr>
                  <w:color w:val="0562C1"/>
                  <w:u w:val="single" w:color="0562C1"/>
                </w:rPr>
                <w:t>(clique</w:t>
              </w:r>
            </w:hyperlink>
            <w:r>
              <w:rPr>
                <w:color w:val="0562C1"/>
                <w:u w:val="single"/>
              </w:rPr>
              <w:t xml:space="preserve"> </w:t>
            </w:r>
            <w:hyperlink r:id="rId11">
              <w:r>
                <w:rPr>
                  <w:b/>
                  <w:color w:val="0562C1"/>
                  <w:u w:val="single" w:color="0562C1"/>
                </w:rPr>
                <w:t xml:space="preserve">aqui </w:t>
              </w:r>
              <w:r>
                <w:rPr>
                  <w:color w:val="0562C1"/>
                  <w:u w:val="single" w:color="0562C1"/>
                </w:rPr>
                <w:t>para acessar uma ferramenta de estimativa de GEE</w:t>
              </w:r>
            </w:hyperlink>
            <w:r>
              <w:t>)</w:t>
            </w:r>
          </w:p>
        </w:tc>
        <w:tc>
          <w:tcPr>
            <w:tcW w:w="5665" w:type="dxa"/>
          </w:tcPr>
          <w:p w14:paraId="4338C15B" w14:textId="562D88BF" w:rsidR="00D55451" w:rsidRDefault="00D55451" w:rsidP="00D55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0CC79AD0" w14:textId="77777777" w:rsidR="006D4DCF" w:rsidRDefault="006D4DCF">
      <w:pPr>
        <w:pStyle w:val="BodyText"/>
        <w:rPr>
          <w:b/>
          <w:sz w:val="39"/>
        </w:rPr>
      </w:pPr>
    </w:p>
    <w:p w14:paraId="608AC6B2" w14:textId="22593BFB" w:rsidR="006D4DCF" w:rsidRDefault="002743DA">
      <w:pPr>
        <w:pStyle w:val="BodyText"/>
        <w:spacing w:before="1"/>
        <w:ind w:left="120"/>
      </w:pPr>
      <w:r>
        <w:t xml:space="preserve">Descrição do </w:t>
      </w:r>
      <w:r w:rsidR="00320B95">
        <w:t>P</w:t>
      </w:r>
      <w:r>
        <w:t>rojeto</w:t>
      </w:r>
    </w:p>
    <w:p w14:paraId="46F59027" w14:textId="77777777" w:rsidR="006D4DCF" w:rsidRDefault="006D4DCF">
      <w:pPr>
        <w:pStyle w:val="BodyText"/>
        <w:spacing w:before="8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6D4DCF" w14:paraId="284DE4D1" w14:textId="77777777">
        <w:trPr>
          <w:trHeight w:val="1074"/>
        </w:trPr>
        <w:tc>
          <w:tcPr>
            <w:tcW w:w="9350" w:type="dxa"/>
          </w:tcPr>
          <w:p w14:paraId="4B782CF1" w14:textId="5C60E59A" w:rsidR="006D4DCF" w:rsidRDefault="002743DA" w:rsidP="00D55451">
            <w:pPr>
              <w:pStyle w:val="TableParagraph"/>
              <w:numPr>
                <w:ilvl w:val="0"/>
                <w:numId w:val="5"/>
              </w:numPr>
              <w:spacing w:before="1" w:line="240" w:lineRule="auto"/>
            </w:pPr>
            <w:r>
              <w:t>Forneça uma breve descrição do projeto, incluindo o tamanho geral do local do projeto e a metragem quadrada dos prédios e estruturas propostos, se souber</w:t>
            </w:r>
            <w:r w:rsidR="00D55451">
              <w:t>.</w:t>
            </w:r>
          </w:p>
          <w:p w14:paraId="12AFD440" w14:textId="545EC49B" w:rsidR="00D55451" w:rsidRDefault="00D55451" w:rsidP="00D55451">
            <w:pPr>
              <w:pStyle w:val="TableParagraph"/>
              <w:spacing w:before="1" w:line="240" w:lineRule="auto"/>
              <w:ind w:left="467"/>
            </w:pPr>
            <w:r>
              <w:rPr>
                <w:lang w:val="pt-PT"/>
              </w:rPr>
              <w:t xml:space="preserve">A LCWD está propondo uma interconexão com a Autoridade de Recursos </w:t>
            </w:r>
            <w:r w:rsidR="00835DCD">
              <w:rPr>
                <w:lang w:val="pt-PT"/>
              </w:rPr>
              <w:t>de Água</w:t>
            </w:r>
            <w:r>
              <w:rPr>
                <w:lang w:val="pt-PT"/>
              </w:rPr>
              <w:t xml:space="preserve"> de Massachusetts (MWRA) (através da cidade de Wakefield) para abastecimento de água redundante e confiável. Este abastecimento de água apoiará o Lynnfield durante os meses de verão, onde atualmente </w:t>
            </w:r>
            <w:r w:rsidR="00835DCD">
              <w:rPr>
                <w:lang w:val="pt-PT"/>
              </w:rPr>
              <w:t>h</w:t>
            </w:r>
            <w:r w:rsidR="00835DCD" w:rsidRPr="00A93225">
              <w:rPr>
                <w:bCs/>
                <w:szCs w:val="18"/>
                <w:lang w:val="pt-PT"/>
              </w:rPr>
              <w:t>á</w:t>
            </w:r>
            <w:r w:rsidR="00835DCD">
              <w:rPr>
                <w:bCs/>
                <w:szCs w:val="18"/>
                <w:lang w:val="pt-PT"/>
              </w:rPr>
              <w:t xml:space="preserve"> uma </w:t>
            </w:r>
            <w:r>
              <w:rPr>
                <w:lang w:val="pt-PT"/>
              </w:rPr>
              <w:t>luta para manter o abastecimento necessário para os clientes e a proteção contra incêndios.</w:t>
            </w:r>
          </w:p>
          <w:p w14:paraId="55A7FAD0" w14:textId="4265A232" w:rsidR="00D55451" w:rsidRPr="00B71040" w:rsidRDefault="00D55451" w:rsidP="00B71040">
            <w:pPr>
              <w:pStyle w:val="TableParagraph"/>
              <w:spacing w:before="1"/>
              <w:ind w:left="467"/>
              <w:rPr>
                <w:bCs/>
                <w:szCs w:val="18"/>
                <w:lang w:val="pt-PT"/>
              </w:rPr>
            </w:pPr>
            <w:r>
              <w:rPr>
                <w:lang w:val="pt-PT"/>
              </w:rPr>
              <w:t xml:space="preserve">A parte de construção real do projeto incluiria uma </w:t>
            </w:r>
            <w:r w:rsidR="00500C80">
              <w:rPr>
                <w:lang w:val="pt-PT"/>
              </w:rPr>
              <w:t>conex</w:t>
            </w:r>
            <w:r w:rsidR="00500C80" w:rsidRPr="00A93225">
              <w:rPr>
                <w:bCs/>
                <w:szCs w:val="18"/>
                <w:lang w:val="pt-PT"/>
              </w:rPr>
              <w:t>ão</w:t>
            </w:r>
            <w:r w:rsidR="00500C80">
              <w:rPr>
                <w:bCs/>
                <w:szCs w:val="18"/>
                <w:lang w:val="pt-PT"/>
              </w:rPr>
              <w:t xml:space="preserve"> </w:t>
            </w:r>
            <w:r w:rsidR="00500C80" w:rsidRPr="00500C80">
              <w:rPr>
                <w:bCs/>
                <w:szCs w:val="18"/>
                <w:lang w:val="pt-PT"/>
              </w:rPr>
              <w:t>subterrânea</w:t>
            </w:r>
            <w:r>
              <w:rPr>
                <w:lang w:val="pt-PT"/>
              </w:rPr>
              <w:t xml:space="preserve"> a rede de água existente em Lynnfield à rede de água em Wakefield. Esta </w:t>
            </w:r>
            <w:r w:rsidR="00500C80">
              <w:rPr>
                <w:lang w:val="pt-PT"/>
              </w:rPr>
              <w:t>conex</w:t>
            </w:r>
            <w:r w:rsidR="00500C80" w:rsidRPr="00A93225">
              <w:rPr>
                <w:bCs/>
                <w:szCs w:val="18"/>
                <w:lang w:val="pt-PT"/>
              </w:rPr>
              <w:t>ão</w:t>
            </w:r>
            <w:r>
              <w:rPr>
                <w:lang w:val="pt-PT"/>
              </w:rPr>
              <w:t xml:space="preserve"> é proposta </w:t>
            </w:r>
            <w:r w:rsidR="00500C80">
              <w:rPr>
                <w:lang w:val="pt-PT"/>
              </w:rPr>
              <w:t>em</w:t>
            </w:r>
            <w:r>
              <w:rPr>
                <w:lang w:val="pt-PT"/>
              </w:rPr>
              <w:t xml:space="preserve"> uma área de grama no lado leste da interseção da Bay State Road e Main Street em Lynnfield. Um pequeno pedestal com um painel de leitura </w:t>
            </w:r>
            <w:r w:rsidR="00500C80">
              <w:rPr>
                <w:lang w:val="pt-PT"/>
              </w:rPr>
              <w:t>seria colocado</w:t>
            </w:r>
            <w:r>
              <w:rPr>
                <w:lang w:val="pt-PT"/>
              </w:rPr>
              <w:t xml:space="preserve"> acima do solo, e uma nova entrada para acessar </w:t>
            </w:r>
            <w:r w:rsidR="00741270">
              <w:rPr>
                <w:lang w:val="pt-PT"/>
              </w:rPr>
              <w:t>as conex</w:t>
            </w:r>
            <w:r w:rsidR="00741270">
              <w:t>ões</w:t>
            </w:r>
            <w:r>
              <w:rPr>
                <w:lang w:val="pt-PT"/>
              </w:rPr>
              <w:t xml:space="preserve"> e pedestais será instalada. Não são propostas estruturas ou edifícios como parte deste projeto.</w:t>
            </w:r>
          </w:p>
        </w:tc>
      </w:tr>
      <w:tr w:rsidR="006D4DCF" w14:paraId="470EC22C" w14:textId="77777777">
        <w:trPr>
          <w:trHeight w:val="1073"/>
        </w:trPr>
        <w:tc>
          <w:tcPr>
            <w:tcW w:w="9350" w:type="dxa"/>
          </w:tcPr>
          <w:p w14:paraId="1569D878" w14:textId="18A238D5" w:rsidR="006D4DCF" w:rsidRDefault="002743DA" w:rsidP="00D55451">
            <w:pPr>
              <w:pStyle w:val="TableParagraph"/>
              <w:numPr>
                <w:ilvl w:val="0"/>
                <w:numId w:val="5"/>
              </w:numPr>
              <w:spacing w:line="240" w:lineRule="auto"/>
            </w:pPr>
            <w:r>
              <w:t>Liste os limites previstos de revisão do MEPA (301 CMR 11.03) (se souber)</w:t>
            </w:r>
            <w:r w:rsidR="00D55451">
              <w:t>.</w:t>
            </w:r>
          </w:p>
          <w:p w14:paraId="4F4FE4F1" w14:textId="7CDBF992" w:rsidR="00D55451" w:rsidRDefault="00D55451" w:rsidP="00D55451">
            <w:pPr>
              <w:pStyle w:val="TableParagraph"/>
              <w:spacing w:line="240" w:lineRule="auto"/>
              <w:ind w:left="467"/>
            </w:pPr>
            <w:r w:rsidRPr="00A93225">
              <w:rPr>
                <w:bCs/>
                <w:szCs w:val="18"/>
                <w:lang w:val="pt-PT"/>
              </w:rPr>
              <w:t xml:space="preserve">301 CMR 11.03(4)(a)2 "Nova transferência interbacias de água igual ou superior a 1.000.000 gpd ou qualquer quantidade determinada significativa pela Comissão de Recursos </w:t>
            </w:r>
            <w:r w:rsidR="00F2390D">
              <w:rPr>
                <w:bCs/>
                <w:szCs w:val="18"/>
                <w:lang w:val="pt-PT"/>
              </w:rPr>
              <w:t xml:space="preserve">de </w:t>
            </w:r>
            <w:r w:rsidR="00F2390D">
              <w:rPr>
                <w:lang w:val="pt-PT"/>
              </w:rPr>
              <w:t>Água</w:t>
            </w:r>
            <w:r w:rsidRPr="00A93225">
              <w:rPr>
                <w:bCs/>
                <w:szCs w:val="18"/>
                <w:lang w:val="pt-PT"/>
              </w:rPr>
              <w:t xml:space="preserve">." A Comissão de Recursos </w:t>
            </w:r>
            <w:r w:rsidR="00F2390D">
              <w:rPr>
                <w:bCs/>
                <w:szCs w:val="18"/>
                <w:lang w:val="pt-PT"/>
              </w:rPr>
              <w:t xml:space="preserve">de </w:t>
            </w:r>
            <w:r w:rsidR="00F2390D">
              <w:rPr>
                <w:lang w:val="pt-PT"/>
              </w:rPr>
              <w:t>Água</w:t>
            </w:r>
            <w:r w:rsidR="00F2390D" w:rsidRPr="00A93225">
              <w:rPr>
                <w:bCs/>
                <w:szCs w:val="18"/>
                <w:lang w:val="pt-PT"/>
              </w:rPr>
              <w:t xml:space="preserve"> </w:t>
            </w:r>
            <w:r w:rsidRPr="00A93225">
              <w:rPr>
                <w:bCs/>
                <w:szCs w:val="18"/>
                <w:lang w:val="pt-PT"/>
              </w:rPr>
              <w:t>(CMR) determinou que qualquer transferência entre bacias com base na MWRA é considerada significativa com base nos fluxos cumulativos da bacia doadora.</w:t>
            </w:r>
          </w:p>
        </w:tc>
      </w:tr>
      <w:tr w:rsidR="006D4DCF" w14:paraId="446231D7" w14:textId="77777777">
        <w:trPr>
          <w:trHeight w:val="1074"/>
        </w:trPr>
        <w:tc>
          <w:tcPr>
            <w:tcW w:w="9350" w:type="dxa"/>
          </w:tcPr>
          <w:p w14:paraId="098FE2F7" w14:textId="7002DC11" w:rsidR="006D4DCF" w:rsidRDefault="002743DA" w:rsidP="00D55451">
            <w:pPr>
              <w:pStyle w:val="TableParagraph"/>
              <w:numPr>
                <w:ilvl w:val="0"/>
                <w:numId w:val="5"/>
              </w:numPr>
              <w:spacing w:before="1" w:line="240" w:lineRule="auto"/>
            </w:pPr>
            <w:r>
              <w:t>Liste todas as autorizações estaduais, locais e federais previstas necessárias para o projeto (se souber)</w:t>
            </w:r>
          </w:p>
          <w:p w14:paraId="1C3BFCE9" w14:textId="5F37432B" w:rsidR="00D55451" w:rsidRDefault="00D55451" w:rsidP="00D55451">
            <w:pPr>
              <w:pStyle w:val="TableParagraph"/>
              <w:spacing w:before="1" w:line="240" w:lineRule="auto"/>
              <w:ind w:left="467"/>
            </w:pPr>
            <w:r w:rsidRPr="00CF0ADC">
              <w:rPr>
                <w:lang w:val="pt-PT"/>
              </w:rPr>
              <w:t xml:space="preserve">A transferência interbacias de água MWRA exigirá a aprovação do MEPA e do WRC, bem como uma licença </w:t>
            </w:r>
            <w:r w:rsidR="00FD3E76">
              <w:rPr>
                <w:lang w:val="pt-PT"/>
              </w:rPr>
              <w:t xml:space="preserve">32 </w:t>
            </w:r>
            <w:r w:rsidRPr="00CF0ADC">
              <w:rPr>
                <w:lang w:val="pt-PT"/>
              </w:rPr>
              <w:t>d</w:t>
            </w:r>
            <w:r w:rsidR="00FD3E76">
              <w:rPr>
                <w:lang w:val="pt-PT"/>
              </w:rPr>
              <w:t>o</w:t>
            </w:r>
            <w:r w:rsidR="00F2390D">
              <w:rPr>
                <w:lang w:val="pt-PT"/>
              </w:rPr>
              <w:t xml:space="preserve"> </w:t>
            </w:r>
            <w:r w:rsidR="00FD3E76" w:rsidRPr="00FD3E76">
              <w:rPr>
                <w:lang w:val="pt-PT"/>
              </w:rPr>
              <w:t>escritório</w:t>
            </w:r>
            <w:r w:rsidR="00FD3E76">
              <w:rPr>
                <w:lang w:val="pt-PT"/>
              </w:rPr>
              <w:t xml:space="preserve"> de Proteção de </w:t>
            </w:r>
            <w:r w:rsidR="00FD3E76" w:rsidRPr="00FD3E76">
              <w:rPr>
                <w:lang w:val="pt-PT"/>
              </w:rPr>
              <w:t>Água</w:t>
            </w:r>
            <w:r w:rsidR="00FD3E76">
              <w:rPr>
                <w:lang w:val="pt-PT"/>
              </w:rPr>
              <w:t xml:space="preserve"> de</w:t>
            </w:r>
            <w:r w:rsidRPr="00CF0ADC">
              <w:rPr>
                <w:lang w:val="pt-PT"/>
              </w:rPr>
              <w:t xml:space="preserve"> Massachusetts</w:t>
            </w:r>
            <w:r w:rsidR="00FD3E76">
              <w:rPr>
                <w:lang w:val="pt-PT"/>
              </w:rPr>
              <w:t xml:space="preserve"> </w:t>
            </w:r>
            <w:r w:rsidRPr="00CF0ADC">
              <w:rPr>
                <w:lang w:val="pt-PT"/>
              </w:rPr>
              <w:t xml:space="preserve">para modificação do sistema </w:t>
            </w:r>
            <w:r w:rsidRPr="00CF0ADC">
              <w:rPr>
                <w:lang w:val="pt-PT"/>
              </w:rPr>
              <w:lastRenderedPageBreak/>
              <w:t>de distribuição e uma licença</w:t>
            </w:r>
            <w:r>
              <w:rPr>
                <w:lang w:val="pt-PT"/>
              </w:rPr>
              <w:t xml:space="preserve"> d</w:t>
            </w:r>
            <w:r w:rsidR="00FD3E76">
              <w:rPr>
                <w:lang w:val="pt-PT"/>
              </w:rPr>
              <w:t xml:space="preserve">o Departament de Transporte de </w:t>
            </w:r>
            <w:r>
              <w:rPr>
                <w:lang w:val="pt-PT"/>
              </w:rPr>
              <w:t xml:space="preserve">Massachusetts </w:t>
            </w:r>
            <w:r w:rsidRPr="00CF0ADC">
              <w:rPr>
                <w:lang w:val="pt-PT"/>
              </w:rPr>
              <w:t xml:space="preserve">para construção dentro do seu direito de passagem e </w:t>
            </w:r>
            <w:r w:rsidR="00FD3E76">
              <w:rPr>
                <w:lang w:val="pt-PT"/>
              </w:rPr>
              <w:t>dentro dos limites d</w:t>
            </w:r>
            <w:r w:rsidRPr="00CF0ADC">
              <w:rPr>
                <w:lang w:val="pt-PT"/>
              </w:rPr>
              <w:t>os seus terrenos.</w:t>
            </w:r>
          </w:p>
        </w:tc>
      </w:tr>
      <w:tr w:rsidR="006D4DCF" w14:paraId="66761CF3" w14:textId="77777777">
        <w:trPr>
          <w:trHeight w:val="1342"/>
        </w:trPr>
        <w:tc>
          <w:tcPr>
            <w:tcW w:w="9350" w:type="dxa"/>
          </w:tcPr>
          <w:p w14:paraId="4B34C858" w14:textId="0F746854" w:rsidR="006D4DCF" w:rsidRDefault="002743DA" w:rsidP="00D55451">
            <w:pPr>
              <w:pStyle w:val="TableParagraph"/>
              <w:numPr>
                <w:ilvl w:val="0"/>
                <w:numId w:val="5"/>
              </w:numPr>
              <w:spacing w:line="240" w:lineRule="auto"/>
            </w:pPr>
            <w:r>
              <w:lastRenderedPageBreak/>
              <w:t>Identifique as populações e características de Justiça ambiental (minoria, renda, falta de conhecimento de inglês) dentro de 5 milhas (8 km) do local do projeto (você pode anexar um mapa que mostre o raio de 5 milhas a partir do</w:t>
            </w:r>
            <w:r>
              <w:rPr>
                <w:color w:val="0562C1"/>
              </w:rPr>
              <w:t xml:space="preserve"> </w:t>
            </w:r>
            <w:hyperlink r:id="rId12">
              <w:r>
                <w:rPr>
                  <w:color w:val="0562C1"/>
                  <w:u w:val="single" w:color="0562C1"/>
                </w:rPr>
                <w:t>Visualizador de mapas de Justiça ambiental</w:t>
              </w:r>
              <w:r>
                <w:rPr>
                  <w:color w:val="0562C1"/>
                </w:rPr>
                <w:t xml:space="preserve"> </w:t>
              </w:r>
            </w:hyperlink>
            <w:r>
              <w:t>em vez de descrever por escrito)</w:t>
            </w:r>
            <w:r w:rsidR="00D55451">
              <w:t>.</w:t>
            </w:r>
          </w:p>
          <w:p w14:paraId="2D1D2096" w14:textId="77777777" w:rsidR="00D55451" w:rsidRDefault="00D55451" w:rsidP="00D55451">
            <w:pPr>
              <w:pStyle w:val="TableParagraph"/>
              <w:spacing w:line="240" w:lineRule="auto"/>
              <w:ind w:left="467"/>
            </w:pPr>
          </w:p>
          <w:p w14:paraId="0EC6A7AF" w14:textId="5D703442" w:rsidR="00D55451" w:rsidRPr="00FD3E76" w:rsidRDefault="00D55451" w:rsidP="00D55451">
            <w:pPr>
              <w:pStyle w:val="TableParagraph"/>
              <w:ind w:left="467"/>
            </w:pPr>
            <w:r w:rsidRPr="00B71040">
              <w:t>BG2-Tract 2103.1 (Peabody nor</w:t>
            </w:r>
            <w:r w:rsidR="00BD17A8">
              <w:t>te</w:t>
            </w:r>
            <w:r w:rsidRPr="00B71040">
              <w:t>): Ren</w:t>
            </w:r>
            <w:r w:rsidR="00013BD2">
              <w:t>da</w:t>
            </w:r>
          </w:p>
          <w:p w14:paraId="761B99B2" w14:textId="77777777" w:rsidR="00D55451" w:rsidRPr="00FD3E76" w:rsidRDefault="00D55451" w:rsidP="00D55451">
            <w:pPr>
              <w:pStyle w:val="TableParagraph"/>
              <w:ind w:left="467"/>
            </w:pPr>
            <w:r w:rsidRPr="00B71040">
              <w:t>BG1-Tract 2103.2 (Peabody sul): Minoria</w:t>
            </w:r>
          </w:p>
          <w:p w14:paraId="1BE4398D" w14:textId="77777777" w:rsidR="00D55451" w:rsidRPr="00FD3E76" w:rsidRDefault="00D55451" w:rsidP="00D55451">
            <w:pPr>
              <w:pStyle w:val="TableParagraph"/>
              <w:ind w:left="467"/>
            </w:pPr>
            <w:r w:rsidRPr="00B71040">
              <w:t>BG1-Tract 3353.02 (Wakefield): Minoria</w:t>
            </w:r>
          </w:p>
          <w:p w14:paraId="1D80A1AE" w14:textId="77777777" w:rsidR="00D55451" w:rsidRPr="00FD3E76" w:rsidRDefault="00D55451" w:rsidP="00D55451">
            <w:pPr>
              <w:pStyle w:val="TableParagraph"/>
              <w:ind w:left="467"/>
            </w:pPr>
            <w:r w:rsidRPr="00B71040">
              <w:t>BG3-Tract 3342 (Leitura): Rendimentos</w:t>
            </w:r>
          </w:p>
          <w:p w14:paraId="6AC74050" w14:textId="77777777" w:rsidR="00D55451" w:rsidRPr="00FD3E76" w:rsidRDefault="00D55451" w:rsidP="00D55451">
            <w:pPr>
              <w:pStyle w:val="TableParagraph"/>
              <w:ind w:left="467"/>
            </w:pPr>
            <w:r w:rsidRPr="00B71040">
              <w:t>Bloco Grupo 1-Trato 3336.01 (Woburn nordeste): Minoria</w:t>
            </w:r>
          </w:p>
          <w:p w14:paraId="78FB2E6D" w14:textId="77777777" w:rsidR="00D55451" w:rsidRPr="00FD3E76" w:rsidRDefault="00D55451" w:rsidP="00D55451">
            <w:pPr>
              <w:pStyle w:val="TableParagraph"/>
              <w:ind w:left="467"/>
            </w:pPr>
            <w:r w:rsidRPr="00B71040">
              <w:t>BG 1-Tract 3334 (Woburn sudeste): Minoria</w:t>
            </w:r>
          </w:p>
          <w:p w14:paraId="5731050E" w14:textId="531353EC" w:rsidR="00D55451" w:rsidRPr="00FD3E76" w:rsidRDefault="00D55451" w:rsidP="00D55451">
            <w:pPr>
              <w:pStyle w:val="TableParagraph"/>
              <w:ind w:left="467"/>
            </w:pPr>
            <w:r w:rsidRPr="00B71040">
              <w:t xml:space="preserve">Bloco Grupo 3-Tract 3336.02 (Woburn </w:t>
            </w:r>
            <w:r w:rsidR="00BD17A8" w:rsidRPr="00CA2C28">
              <w:t>centro-norte</w:t>
            </w:r>
            <w:r w:rsidRPr="00B71040">
              <w:t>): Minoria</w:t>
            </w:r>
          </w:p>
          <w:p w14:paraId="0E9BD4DD" w14:textId="27877042" w:rsidR="00D55451" w:rsidRPr="00FD3E76" w:rsidRDefault="00D55451" w:rsidP="00D55451">
            <w:pPr>
              <w:pStyle w:val="TableParagraph"/>
              <w:ind w:left="467"/>
            </w:pPr>
            <w:r w:rsidRPr="00B71040">
              <w:t xml:space="preserve">BG4-Tract 3336.02 (Woburn </w:t>
            </w:r>
            <w:r w:rsidR="00FD3E76">
              <w:t>n</w:t>
            </w:r>
            <w:r w:rsidRPr="00B71040">
              <w:t>oroeste): Minoria</w:t>
            </w:r>
          </w:p>
          <w:p w14:paraId="0B41CF8C" w14:textId="77777777" w:rsidR="00D55451" w:rsidRPr="00FD3E76" w:rsidRDefault="00D55451" w:rsidP="00D55451">
            <w:pPr>
              <w:pStyle w:val="TableParagraph"/>
              <w:ind w:left="467"/>
            </w:pPr>
            <w:r w:rsidRPr="00B71040">
              <w:t>BG1-Tract 3336.02 (Woburn sudoeste): Minoria</w:t>
            </w:r>
          </w:p>
          <w:p w14:paraId="76C3D63E" w14:textId="11EA608E" w:rsidR="00D55451" w:rsidRPr="00FD3E76" w:rsidRDefault="00D55451" w:rsidP="00D55451">
            <w:pPr>
              <w:pStyle w:val="TableParagraph"/>
              <w:ind w:left="467"/>
            </w:pPr>
            <w:r w:rsidRPr="00B71040">
              <w:t xml:space="preserve">BG2-Tract 3335.02 (Woburn </w:t>
            </w:r>
            <w:r w:rsidR="00BD17A8" w:rsidRPr="00CA2C28">
              <w:t>centro-norte</w:t>
            </w:r>
            <w:r w:rsidRPr="00B71040">
              <w:t>): Minoria</w:t>
            </w:r>
          </w:p>
          <w:p w14:paraId="51FF050E" w14:textId="6786F37C" w:rsidR="00D55451" w:rsidRPr="00FD3E76" w:rsidRDefault="00D55451" w:rsidP="00D55451">
            <w:pPr>
              <w:pStyle w:val="TableParagraph"/>
              <w:ind w:left="467"/>
            </w:pPr>
            <w:r w:rsidRPr="00B71040">
              <w:t xml:space="preserve">BG1-Tract 3335.02 (Woburn </w:t>
            </w:r>
            <w:r w:rsidR="00FD3E76">
              <w:t>médio central</w:t>
            </w:r>
            <w:r w:rsidRPr="00B71040">
              <w:t>): Minoria</w:t>
            </w:r>
          </w:p>
          <w:p w14:paraId="3F71BFBB" w14:textId="3F37DC53" w:rsidR="00D55451" w:rsidRPr="00FD3E76" w:rsidRDefault="00D55451" w:rsidP="00D55451">
            <w:pPr>
              <w:pStyle w:val="TableParagraph"/>
              <w:ind w:left="467"/>
            </w:pPr>
            <w:r w:rsidRPr="00B71040">
              <w:t xml:space="preserve">BG4-Tract 3334 (Woburn </w:t>
            </w:r>
            <w:r w:rsidR="00BD17A8">
              <w:t>centro-</w:t>
            </w:r>
            <w:r w:rsidR="00FD3E76">
              <w:t>sul</w:t>
            </w:r>
            <w:r w:rsidRPr="00B71040">
              <w:t>): Minoria</w:t>
            </w:r>
          </w:p>
          <w:p w14:paraId="09D53404" w14:textId="03175276" w:rsidR="00D55451" w:rsidRPr="00FD3E76" w:rsidRDefault="00D55451" w:rsidP="00D55451">
            <w:pPr>
              <w:pStyle w:val="TableParagraph"/>
              <w:ind w:left="467"/>
            </w:pPr>
            <w:r w:rsidRPr="00B71040">
              <w:t>BG3-Tract 3382 (Winchester): Minoria</w:t>
            </w:r>
          </w:p>
          <w:p w14:paraId="53393114" w14:textId="38522504" w:rsidR="00D55451" w:rsidRPr="00FD3E76" w:rsidRDefault="00D55451" w:rsidP="00D55451">
            <w:pPr>
              <w:pStyle w:val="TableParagraph"/>
              <w:ind w:left="467"/>
            </w:pPr>
            <w:r w:rsidRPr="00B71040">
              <w:t xml:space="preserve">BG1-Tract 3373 (Stoneham </w:t>
            </w:r>
            <w:r w:rsidR="00FD3E76">
              <w:t>sul</w:t>
            </w:r>
            <w:r w:rsidRPr="00B71040">
              <w:t>): Minoria</w:t>
            </w:r>
          </w:p>
          <w:p w14:paraId="541CABE0" w14:textId="4262D90E" w:rsidR="00D55451" w:rsidRPr="00FD3E76" w:rsidRDefault="00D55451" w:rsidP="00D55451">
            <w:pPr>
              <w:pStyle w:val="TableParagraph"/>
              <w:ind w:left="467"/>
            </w:pPr>
            <w:r w:rsidRPr="00B71040">
              <w:t xml:space="preserve">BG3-Tract 3372.01 (Stoneham </w:t>
            </w:r>
            <w:r w:rsidR="00FD3E76">
              <w:t>n</w:t>
            </w:r>
            <w:r w:rsidRPr="00B71040">
              <w:t>orte): Minoria</w:t>
            </w:r>
          </w:p>
          <w:p w14:paraId="6AFA8185" w14:textId="77777777" w:rsidR="00D55451" w:rsidRPr="00FD3E76" w:rsidRDefault="00D55451" w:rsidP="00D55451">
            <w:pPr>
              <w:pStyle w:val="TableParagraph"/>
              <w:ind w:left="467"/>
            </w:pPr>
            <w:r w:rsidRPr="00B71040">
              <w:t>BG3-Tract 3364.02 (Melrose oeste): Renda</w:t>
            </w:r>
          </w:p>
          <w:p w14:paraId="2747C0A8" w14:textId="77777777" w:rsidR="00D55451" w:rsidRPr="00FD3E76" w:rsidRDefault="00D55451" w:rsidP="00D55451">
            <w:pPr>
              <w:pStyle w:val="TableParagraph"/>
              <w:ind w:left="467"/>
            </w:pPr>
            <w:r w:rsidRPr="00B71040">
              <w:t>BG1-Tract 3364.02 (Melrose leste): Minoria</w:t>
            </w:r>
          </w:p>
          <w:p w14:paraId="06B6B1E5" w14:textId="652DB651" w:rsidR="00D55451" w:rsidRPr="00FD3E76" w:rsidRDefault="00D55451" w:rsidP="00D55451">
            <w:pPr>
              <w:pStyle w:val="TableParagraph"/>
              <w:ind w:left="467"/>
            </w:pPr>
            <w:r w:rsidRPr="00B71040">
              <w:t xml:space="preserve">BG2-Tract 2084.02 (Saugus </w:t>
            </w:r>
            <w:r w:rsidR="00FD3E76">
              <w:t>oeste</w:t>
            </w:r>
            <w:r w:rsidRPr="00B71040">
              <w:t>): Minoria</w:t>
            </w:r>
          </w:p>
          <w:p w14:paraId="29D34EE5" w14:textId="77777777" w:rsidR="00D55451" w:rsidRPr="00FD3E76" w:rsidRDefault="00D55451" w:rsidP="00D55451">
            <w:pPr>
              <w:pStyle w:val="TableParagraph"/>
              <w:ind w:left="467"/>
            </w:pPr>
            <w:r w:rsidRPr="00B71040">
              <w:t>BG1-Tract 2084.01 (Saugus norte): Minoria</w:t>
            </w:r>
          </w:p>
          <w:p w14:paraId="2A868394" w14:textId="25B81F2A" w:rsidR="00D55451" w:rsidRPr="00FD3E76" w:rsidRDefault="00D55451" w:rsidP="00D55451">
            <w:pPr>
              <w:pStyle w:val="TableParagraph"/>
              <w:ind w:left="467"/>
            </w:pPr>
            <w:r w:rsidRPr="00B71040">
              <w:t>BG1-Tract 2083.01 (Saugus centro-norte): Rend</w:t>
            </w:r>
            <w:r w:rsidR="00013BD2">
              <w:t>a</w:t>
            </w:r>
          </w:p>
          <w:p w14:paraId="05729D2F" w14:textId="23904AA7" w:rsidR="00D55451" w:rsidRPr="00FD3E76" w:rsidRDefault="00D55451" w:rsidP="00D55451">
            <w:pPr>
              <w:pStyle w:val="TableParagraph"/>
              <w:ind w:left="467"/>
            </w:pPr>
            <w:r w:rsidRPr="00B71040">
              <w:t>BG3-Tract 2082 (Saugus centro-sul): Rend</w:t>
            </w:r>
            <w:r w:rsidR="00013BD2">
              <w:t>a</w:t>
            </w:r>
          </w:p>
          <w:p w14:paraId="1904D471" w14:textId="718CAB94" w:rsidR="00D55451" w:rsidRPr="00FD3E76" w:rsidRDefault="00D55451" w:rsidP="00D55451">
            <w:pPr>
              <w:pStyle w:val="TableParagraph"/>
              <w:ind w:left="467"/>
            </w:pPr>
            <w:r w:rsidRPr="00B71040">
              <w:t xml:space="preserve">BG1-Tract 2083.02 (Saugus </w:t>
            </w:r>
            <w:r w:rsidR="00BD17A8">
              <w:t>lest</w:t>
            </w:r>
            <w:r w:rsidRPr="00B71040">
              <w:t>): Isolamento Inglês</w:t>
            </w:r>
          </w:p>
          <w:p w14:paraId="6956A7A6" w14:textId="77777777" w:rsidR="00D55451" w:rsidRPr="00FD3E76" w:rsidRDefault="00D55451" w:rsidP="00D55451">
            <w:pPr>
              <w:pStyle w:val="TableParagraph"/>
              <w:spacing w:line="240" w:lineRule="auto"/>
              <w:ind w:left="467"/>
            </w:pPr>
            <w:r w:rsidRPr="00B71040">
              <w:t>BG3-Tract 2054 (Lynn): Minoria</w:t>
            </w:r>
          </w:p>
          <w:p w14:paraId="3C6A78C7" w14:textId="77777777" w:rsidR="00D55451" w:rsidRPr="00B71040" w:rsidRDefault="00D55451" w:rsidP="00D5545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71040">
              <w:rPr>
                <w:sz w:val="22"/>
                <w:szCs w:val="22"/>
                <w:lang w:val="pt-BR"/>
              </w:rPr>
              <w:t xml:space="preserve">          Trato 3336 (Woburn): Português ou Crioulo Português (5,4%)</w:t>
            </w:r>
          </w:p>
          <w:p w14:paraId="061ECB9E" w14:textId="1A78F35E" w:rsidR="00D55451" w:rsidRDefault="00D55451" w:rsidP="00D55451">
            <w:pPr>
              <w:pStyle w:val="TableParagraph"/>
              <w:spacing w:line="240" w:lineRule="auto"/>
              <w:ind w:left="467"/>
            </w:pPr>
          </w:p>
        </w:tc>
      </w:tr>
      <w:tr w:rsidR="006D4DCF" w14:paraId="5981D203" w14:textId="77777777">
        <w:trPr>
          <w:trHeight w:val="1343"/>
        </w:trPr>
        <w:tc>
          <w:tcPr>
            <w:tcW w:w="9350" w:type="dxa"/>
          </w:tcPr>
          <w:p w14:paraId="5DBF852C" w14:textId="4B7FF9EB" w:rsidR="006D4DCF" w:rsidRDefault="002743DA" w:rsidP="00D55451">
            <w:pPr>
              <w:pStyle w:val="TableParagraph"/>
              <w:numPr>
                <w:ilvl w:val="0"/>
                <w:numId w:val="5"/>
              </w:numPr>
              <w:spacing w:line="240" w:lineRule="auto"/>
              <w:ind w:right="298"/>
            </w:pPr>
            <w:r>
              <w:t xml:space="preserve">Identifique qualquer município ou </w:t>
            </w:r>
            <w:r w:rsidR="00467F5E">
              <w:t>censo</w:t>
            </w:r>
            <w:r>
              <w:t xml:space="preserve"> que atenda à definição de “critérios </w:t>
            </w:r>
            <w:r w:rsidR="00467F5E">
              <w:t xml:space="preserve">vulneráveis </w:t>
            </w:r>
            <w:r>
              <w:t>de saúde d</w:t>
            </w:r>
            <w:r w:rsidR="00467F5E">
              <w:t>a</w:t>
            </w:r>
            <w:r>
              <w:t xml:space="preserve"> Justiça ambiental” pela</w:t>
            </w:r>
            <w:r>
              <w:rPr>
                <w:color w:val="0562C1"/>
              </w:rPr>
              <w:t xml:space="preserve"> </w:t>
            </w:r>
            <w:hyperlink r:id="rId13">
              <w:r>
                <w:rPr>
                  <w:color w:val="0562C1"/>
                  <w:u w:val="single" w:color="0562C1"/>
                </w:rPr>
                <w:t>Ferramenta de Justiça ambiental</w:t>
              </w:r>
              <w:r>
                <w:rPr>
                  <w:color w:val="0562C1"/>
                </w:rPr>
                <w:t xml:space="preserve"> </w:t>
              </w:r>
            </w:hyperlink>
            <w:r>
              <w:t>localizado totalmente ou parcialmente dentro do raio de 1 milha (1,6 km) do local do projeto</w:t>
            </w:r>
            <w:r w:rsidR="00D55451">
              <w:t>.</w:t>
            </w:r>
          </w:p>
          <w:p w14:paraId="04296075" w14:textId="77777777" w:rsidR="00D55451" w:rsidRDefault="00D55451" w:rsidP="00D55451">
            <w:pPr>
              <w:pStyle w:val="TableParagraph"/>
              <w:spacing w:line="240" w:lineRule="auto"/>
              <w:ind w:left="467" w:right="298"/>
            </w:pPr>
          </w:p>
          <w:p w14:paraId="07C4142B" w14:textId="28F58518" w:rsidR="00D55451" w:rsidRDefault="00D55451" w:rsidP="00D55451">
            <w:pPr>
              <w:pStyle w:val="TableParagraph"/>
              <w:spacing w:line="240" w:lineRule="auto"/>
              <w:ind w:right="298"/>
            </w:pPr>
            <w:r>
              <w:rPr>
                <w:lang w:val="pt-PT"/>
              </w:rPr>
              <w:t xml:space="preserve">Wakefield: Prevalência elevada de chumbo no sangue, Baixo peso ao nascer, Taxa de ataque cardíaco por 10.000, Taxa de visitas </w:t>
            </w:r>
            <w:r w:rsidR="00492CF1">
              <w:rPr>
                <w:lang w:val="pt-PT"/>
              </w:rPr>
              <w:t xml:space="preserve">ao departament de emergênca </w:t>
            </w:r>
            <w:r>
              <w:rPr>
                <w:lang w:val="pt-PT"/>
              </w:rPr>
              <w:t>por asma infantil por 10.000</w:t>
            </w:r>
          </w:p>
          <w:p w14:paraId="08467D1B" w14:textId="77777777" w:rsidR="00D55451" w:rsidRDefault="00D55451" w:rsidP="00D55451">
            <w:pPr>
              <w:pStyle w:val="TableParagraph"/>
              <w:spacing w:line="240" w:lineRule="auto"/>
              <w:ind w:right="298"/>
            </w:pPr>
            <w:r>
              <w:rPr>
                <w:lang w:val="pt-PT"/>
              </w:rPr>
              <w:t>Lynnfield: Baixo peso ao nascer, taxa de ataque cardíaco por 10.000, taxa de visitas à asma infantil por 10.000</w:t>
            </w:r>
          </w:p>
          <w:p w14:paraId="5C418B17" w14:textId="4393C222" w:rsidR="00D55451" w:rsidRDefault="00D55451" w:rsidP="00D55451">
            <w:pPr>
              <w:pStyle w:val="TableParagraph"/>
              <w:spacing w:line="240" w:lineRule="auto"/>
              <w:ind w:left="467" w:right="298"/>
            </w:pPr>
            <w:r>
              <w:rPr>
                <w:lang w:val="pt-PT"/>
              </w:rPr>
              <w:t xml:space="preserve">Leitura: Baixo peso ao nascer, Taxa de ataque cardíaco por 10.000, Taxa de visitas </w:t>
            </w:r>
            <w:r w:rsidR="00492CF1">
              <w:rPr>
                <w:lang w:val="pt-PT"/>
              </w:rPr>
              <w:t xml:space="preserve">ao departament de emergênca </w:t>
            </w:r>
            <w:r>
              <w:rPr>
                <w:lang w:val="pt-PT"/>
              </w:rPr>
              <w:t>por asma infantil por 10.000</w:t>
            </w:r>
          </w:p>
        </w:tc>
      </w:tr>
    </w:tbl>
    <w:p w14:paraId="6462A311" w14:textId="77777777" w:rsidR="006D4DCF" w:rsidRDefault="006D4DCF">
      <w:pPr>
        <w:sectPr w:rsidR="006D4DCF">
          <w:footerReference w:type="default" r:id="rId14"/>
          <w:pgSz w:w="12240" w:h="15840"/>
          <w:pgMar w:top="1120" w:right="960" w:bottom="1200" w:left="960" w:header="0" w:footer="1012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6D4DCF" w14:paraId="7ACBC606" w14:textId="77777777">
        <w:trPr>
          <w:trHeight w:val="1074"/>
        </w:trPr>
        <w:tc>
          <w:tcPr>
            <w:tcW w:w="9350" w:type="dxa"/>
          </w:tcPr>
          <w:p w14:paraId="1588467D" w14:textId="2804F0D2" w:rsidR="006D4DCF" w:rsidRDefault="002743DA" w:rsidP="00D55451">
            <w:pPr>
              <w:pStyle w:val="TableParagraph"/>
              <w:numPr>
                <w:ilvl w:val="0"/>
                <w:numId w:val="5"/>
              </w:numPr>
              <w:spacing w:line="240" w:lineRule="auto"/>
              <w:ind w:right="298"/>
            </w:pPr>
            <w:r>
              <w:t>Identifique potenciais impactos ambientais e de saúde pública de curto e longo prazo que podem afetar as Populações de Justiça ambiental e qualquer mitigação prevista</w:t>
            </w:r>
            <w:r w:rsidR="00D55451">
              <w:t>.</w:t>
            </w:r>
          </w:p>
          <w:p w14:paraId="2A409906" w14:textId="77777777" w:rsidR="00D55451" w:rsidRDefault="00D55451" w:rsidP="00D55451">
            <w:pPr>
              <w:pStyle w:val="TableParagraph"/>
              <w:spacing w:line="240" w:lineRule="auto"/>
              <w:ind w:left="467" w:right="298"/>
            </w:pPr>
          </w:p>
          <w:p w14:paraId="3716A52F" w14:textId="630BF77D" w:rsidR="00D55451" w:rsidRDefault="00D55451" w:rsidP="00D55451">
            <w:pPr>
              <w:pStyle w:val="TableParagraph"/>
              <w:spacing w:line="240" w:lineRule="auto"/>
              <w:ind w:left="467" w:right="298"/>
            </w:pPr>
            <w:r>
              <w:rPr>
                <w:lang w:val="pt-PT"/>
              </w:rPr>
              <w:t xml:space="preserve">O projeto proposto não terá quaisquer impactos ambientais e de saúde pública a curto ou longo prazo que possam afetar as populações de </w:t>
            </w:r>
            <w:r w:rsidR="00AE0C43">
              <w:t>Justiça ambiental</w:t>
            </w:r>
            <w:r>
              <w:rPr>
                <w:lang w:val="pt-PT"/>
              </w:rPr>
              <w:t>.</w:t>
            </w:r>
          </w:p>
        </w:tc>
      </w:tr>
      <w:tr w:rsidR="006D4DCF" w14:paraId="161392EF" w14:textId="77777777">
        <w:trPr>
          <w:trHeight w:val="1073"/>
        </w:trPr>
        <w:tc>
          <w:tcPr>
            <w:tcW w:w="9350" w:type="dxa"/>
          </w:tcPr>
          <w:p w14:paraId="4C35A2F0" w14:textId="40B8A88E" w:rsidR="006D4DCF" w:rsidRDefault="002743DA" w:rsidP="00D55451">
            <w:pPr>
              <w:pStyle w:val="TableParagraph"/>
              <w:numPr>
                <w:ilvl w:val="0"/>
                <w:numId w:val="5"/>
              </w:numPr>
              <w:spacing w:line="240" w:lineRule="auto"/>
              <w:ind w:right="298"/>
            </w:pPr>
            <w:r>
              <w:lastRenderedPageBreak/>
              <w:t>Identifique os benefícios do projeto, incluindo os “Benefícios ambientais”, conforme definido no 301 CMR 11.02, que podem melhorar as condições ambientais ou a saúde pública da População de Justiça ambiental</w:t>
            </w:r>
            <w:r w:rsidR="00D55451">
              <w:t>.</w:t>
            </w:r>
          </w:p>
          <w:p w14:paraId="758BFD3C" w14:textId="77777777" w:rsidR="00D55451" w:rsidRDefault="00D55451" w:rsidP="00D55451">
            <w:pPr>
              <w:pStyle w:val="TableParagraph"/>
              <w:spacing w:line="240" w:lineRule="auto"/>
              <w:ind w:left="467" w:right="298"/>
            </w:pPr>
          </w:p>
          <w:p w14:paraId="7678DF18" w14:textId="5D226A3F" w:rsidR="00D55451" w:rsidRDefault="00D55451" w:rsidP="00D55451">
            <w:pPr>
              <w:pStyle w:val="TableParagraph"/>
              <w:spacing w:line="240" w:lineRule="auto"/>
              <w:ind w:left="467" w:right="298"/>
            </w:pPr>
            <w:r>
              <w:rPr>
                <w:lang w:val="pt-PT"/>
              </w:rPr>
              <w:t xml:space="preserve">O projeto proposto não afetará as populações de </w:t>
            </w:r>
            <w:r w:rsidR="00AE0C43">
              <w:t>Justiça ambiental</w:t>
            </w:r>
            <w:r>
              <w:rPr>
                <w:lang w:val="pt-PT"/>
              </w:rPr>
              <w:t xml:space="preserve"> em nenhuma capacidade, mas fornecerá água potável confiável aos clientes da LCWD.</w:t>
            </w:r>
          </w:p>
        </w:tc>
      </w:tr>
      <w:tr w:rsidR="006D4DCF" w:rsidRPr="00320B95" w14:paraId="656C7229" w14:textId="77777777">
        <w:trPr>
          <w:trHeight w:val="1343"/>
        </w:trPr>
        <w:tc>
          <w:tcPr>
            <w:tcW w:w="9350" w:type="dxa"/>
          </w:tcPr>
          <w:p w14:paraId="6CBD395A" w14:textId="1AA83E56" w:rsidR="006D4DCF" w:rsidRDefault="002743DA" w:rsidP="00D55451">
            <w:pPr>
              <w:pStyle w:val="TableParagraph"/>
              <w:numPr>
                <w:ilvl w:val="0"/>
                <w:numId w:val="5"/>
              </w:numPr>
              <w:spacing w:line="240" w:lineRule="auto"/>
              <w:ind w:right="464"/>
            </w:pPr>
            <w:r>
              <w:t>Descreva como a comunidade pode organizar uma reunião para discutir o projeto e como a comunidade pode solicitar serviços de interpretação para a reunião. Especifique como solicitar outras acomodações, incluindo reuniões fora do horário comercial e em locais próximos a transportes públicos</w:t>
            </w:r>
            <w:r w:rsidR="00D55451">
              <w:t>.</w:t>
            </w:r>
          </w:p>
          <w:p w14:paraId="436C2D0D" w14:textId="572AA0BF" w:rsidR="00AE0C43" w:rsidRDefault="00AE0C43" w:rsidP="00B71040">
            <w:pPr>
              <w:pStyle w:val="TableParagraph"/>
              <w:spacing w:line="240" w:lineRule="auto"/>
              <w:ind w:left="467" w:right="464"/>
            </w:pPr>
            <w:r>
              <w:t>Por favor contate o seguinte CDM Smith membro para quaisquer perguntas relacionas ao proje</w:t>
            </w:r>
            <w:r w:rsidR="00013BD2">
              <w:t>to</w:t>
            </w:r>
            <w:r>
              <w:t xml:space="preserve"> e outras necessidades</w:t>
            </w:r>
            <w:r w:rsidR="00737928">
              <w:t>:</w:t>
            </w:r>
          </w:p>
          <w:p w14:paraId="0B87BE6E" w14:textId="77777777" w:rsidR="00D55451" w:rsidRDefault="00D55451" w:rsidP="00D55451">
            <w:pPr>
              <w:pStyle w:val="TableParagraph"/>
              <w:spacing w:line="240" w:lineRule="auto"/>
              <w:ind w:left="467" w:right="464"/>
            </w:pPr>
          </w:p>
          <w:p w14:paraId="71A139EE" w14:textId="77777777" w:rsidR="00D55451" w:rsidRPr="00737928" w:rsidRDefault="00D55451" w:rsidP="00D55451">
            <w:pPr>
              <w:pStyle w:val="TableParagraph"/>
              <w:spacing w:line="240" w:lineRule="auto"/>
              <w:ind w:left="467" w:right="464"/>
            </w:pPr>
            <w:r w:rsidRPr="00737928">
              <w:t>Danielle Gallant, PWS, QEP</w:t>
            </w:r>
          </w:p>
          <w:p w14:paraId="51385399" w14:textId="0C52EC0D" w:rsidR="00D55451" w:rsidRPr="00737928" w:rsidRDefault="00737928" w:rsidP="00D55451">
            <w:pPr>
              <w:pStyle w:val="TableParagraph"/>
              <w:spacing w:line="240" w:lineRule="auto"/>
              <w:ind w:left="467" w:right="464"/>
            </w:pPr>
            <w:r w:rsidRPr="00B71040">
              <w:t xml:space="preserve">Cientista Ambiental </w:t>
            </w:r>
          </w:p>
          <w:p w14:paraId="78EC0366" w14:textId="77777777" w:rsidR="00D55451" w:rsidRPr="00737928" w:rsidRDefault="00D55451" w:rsidP="00D55451">
            <w:pPr>
              <w:pStyle w:val="TableParagraph"/>
              <w:spacing w:line="240" w:lineRule="auto"/>
              <w:ind w:left="467" w:right="464"/>
            </w:pPr>
            <w:r w:rsidRPr="00737928">
              <w:t>CDM Smith</w:t>
            </w:r>
          </w:p>
          <w:p w14:paraId="114B52B3" w14:textId="77777777" w:rsidR="00D55451" w:rsidRPr="00737928" w:rsidRDefault="00D55451" w:rsidP="00D55451">
            <w:pPr>
              <w:pStyle w:val="TableParagraph"/>
              <w:spacing w:line="240" w:lineRule="auto"/>
              <w:ind w:left="467" w:right="464"/>
            </w:pPr>
            <w:r w:rsidRPr="00737928">
              <w:t>3 Davol Square, Building A, Suite A-425</w:t>
            </w:r>
          </w:p>
          <w:p w14:paraId="11B04D36" w14:textId="77777777" w:rsidR="00D55451" w:rsidRPr="00737928" w:rsidRDefault="00D55451" w:rsidP="00D55451">
            <w:pPr>
              <w:pStyle w:val="TableParagraph"/>
              <w:spacing w:line="240" w:lineRule="auto"/>
              <w:ind w:left="467" w:right="464"/>
            </w:pPr>
            <w:r w:rsidRPr="00737928">
              <w:t>Providence, Rhode Island 02903</w:t>
            </w:r>
          </w:p>
          <w:p w14:paraId="338EBC3A" w14:textId="54906BE6" w:rsidR="00D55451" w:rsidRPr="00737928" w:rsidRDefault="00D55451" w:rsidP="00D55451">
            <w:pPr>
              <w:pStyle w:val="TableParagraph"/>
              <w:spacing w:line="240" w:lineRule="auto"/>
              <w:ind w:left="467" w:right="464"/>
            </w:pPr>
            <w:r w:rsidRPr="00B71040">
              <w:t>Telefone</w:t>
            </w:r>
            <w:r w:rsidRPr="00737928">
              <w:t>: 401-457-0321</w:t>
            </w:r>
          </w:p>
          <w:p w14:paraId="05D7CBF9" w14:textId="77777777" w:rsidR="00D55451" w:rsidRPr="00737928" w:rsidRDefault="00D55451" w:rsidP="00D55451">
            <w:pPr>
              <w:pStyle w:val="TableParagraph"/>
              <w:spacing w:line="240" w:lineRule="auto"/>
              <w:ind w:left="467" w:right="464"/>
            </w:pPr>
            <w:r w:rsidRPr="00737928">
              <w:t>Email: GallantDJ@cdmsmith.com</w:t>
            </w:r>
          </w:p>
          <w:p w14:paraId="07F88E01" w14:textId="7D784F50" w:rsidR="00D55451" w:rsidRPr="00B71040" w:rsidRDefault="00D55451" w:rsidP="00D55451">
            <w:pPr>
              <w:pStyle w:val="TableParagraph"/>
              <w:spacing w:line="240" w:lineRule="auto"/>
              <w:ind w:left="467" w:right="464"/>
              <w:rPr>
                <w:lang w:val="en-US"/>
              </w:rPr>
            </w:pPr>
          </w:p>
        </w:tc>
      </w:tr>
    </w:tbl>
    <w:p w14:paraId="0C6478C6" w14:textId="77777777" w:rsidR="006D4DCF" w:rsidRPr="00B71040" w:rsidRDefault="006D4DCF">
      <w:pPr>
        <w:pStyle w:val="BodyText"/>
        <w:spacing w:before="6"/>
        <w:rPr>
          <w:sz w:val="18"/>
          <w:lang w:val="en-US"/>
        </w:rPr>
      </w:pPr>
    </w:p>
    <w:sectPr w:rsidR="006D4DCF" w:rsidRPr="00B71040" w:rsidSect="004E6412">
      <w:type w:val="continuous"/>
      <w:pgSz w:w="12240" w:h="15840" w:code="119"/>
      <w:pgMar w:top="1123" w:right="958" w:bottom="1202" w:left="958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89AA" w14:textId="77777777" w:rsidR="003B171E" w:rsidRDefault="003B171E">
      <w:r>
        <w:separator/>
      </w:r>
    </w:p>
  </w:endnote>
  <w:endnote w:type="continuationSeparator" w:id="0">
    <w:p w14:paraId="7AF8AE16" w14:textId="77777777" w:rsidR="003B171E" w:rsidRDefault="003B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E4FD" w14:textId="57E004DE" w:rsidR="006D4DCF" w:rsidRDefault="005117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BFDDA9" wp14:editId="574D9F2A">
              <wp:simplePos x="0" y="0"/>
              <wp:positionH relativeFrom="page">
                <wp:posOffset>3776980</wp:posOffset>
              </wp:positionH>
              <wp:positionV relativeFrom="page">
                <wp:posOffset>9276080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76142" w14:textId="77777777" w:rsidR="006D4DCF" w:rsidRDefault="002743DA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FDD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pt;margin-top:730.4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" filled="f" stroked="f">
              <v:textbox inset="0,0,0,0">
                <w:txbxContent>
                  <w:p w14:paraId="1CA76142" w14:textId="77777777" w:rsidR="006D4DCF" w:rsidRDefault="002743DA">
                    <w:pPr>
                      <w:pStyle w:val="BodyText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E239" w14:textId="77777777" w:rsidR="003B171E" w:rsidRDefault="003B171E">
      <w:r>
        <w:separator/>
      </w:r>
    </w:p>
  </w:footnote>
  <w:footnote w:type="continuationSeparator" w:id="0">
    <w:p w14:paraId="4ED280C6" w14:textId="77777777" w:rsidR="003B171E" w:rsidRDefault="003B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259"/>
    <w:multiLevelType w:val="hybridMultilevel"/>
    <w:tmpl w:val="8A243066"/>
    <w:lvl w:ilvl="0" w:tplc="080283C0">
      <w:start w:val="1"/>
      <w:numFmt w:val="upperRoman"/>
      <w:lvlText w:val="%1."/>
      <w:lvlJc w:val="left"/>
      <w:pPr>
        <w:ind w:left="840" w:hanging="721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n-US" w:eastAsia="en-US" w:bidi="en-US"/>
      </w:rPr>
    </w:lvl>
    <w:lvl w:ilvl="1" w:tplc="BBFAD66C">
      <w:start w:val="1"/>
      <w:numFmt w:val="upperLetter"/>
      <w:lvlText w:val="%2."/>
      <w:lvlJc w:val="left"/>
      <w:pPr>
        <w:ind w:left="1559" w:hanging="72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85B85EBC">
      <w:numFmt w:val="bullet"/>
      <w:lvlText w:val="•"/>
      <w:lvlJc w:val="left"/>
      <w:pPr>
        <w:ind w:left="1560" w:hanging="721"/>
      </w:pPr>
      <w:rPr>
        <w:rFonts w:hint="default"/>
        <w:lang w:val="en-US" w:eastAsia="en-US" w:bidi="en-US"/>
      </w:rPr>
    </w:lvl>
    <w:lvl w:ilvl="3" w:tplc="D3AE3F60">
      <w:numFmt w:val="bullet"/>
      <w:lvlText w:val="•"/>
      <w:lvlJc w:val="left"/>
      <w:pPr>
        <w:ind w:left="2655" w:hanging="721"/>
      </w:pPr>
      <w:rPr>
        <w:rFonts w:hint="default"/>
        <w:lang w:val="en-US" w:eastAsia="en-US" w:bidi="en-US"/>
      </w:rPr>
    </w:lvl>
    <w:lvl w:ilvl="4" w:tplc="90908038">
      <w:numFmt w:val="bullet"/>
      <w:lvlText w:val="•"/>
      <w:lvlJc w:val="left"/>
      <w:pPr>
        <w:ind w:left="3750" w:hanging="721"/>
      </w:pPr>
      <w:rPr>
        <w:rFonts w:hint="default"/>
        <w:lang w:val="en-US" w:eastAsia="en-US" w:bidi="en-US"/>
      </w:rPr>
    </w:lvl>
    <w:lvl w:ilvl="5" w:tplc="768096C2">
      <w:numFmt w:val="bullet"/>
      <w:lvlText w:val="•"/>
      <w:lvlJc w:val="left"/>
      <w:pPr>
        <w:ind w:left="4845" w:hanging="721"/>
      </w:pPr>
      <w:rPr>
        <w:rFonts w:hint="default"/>
        <w:lang w:val="en-US" w:eastAsia="en-US" w:bidi="en-US"/>
      </w:rPr>
    </w:lvl>
    <w:lvl w:ilvl="6" w:tplc="0ED67612">
      <w:numFmt w:val="bullet"/>
      <w:lvlText w:val="•"/>
      <w:lvlJc w:val="left"/>
      <w:pPr>
        <w:ind w:left="5940" w:hanging="721"/>
      </w:pPr>
      <w:rPr>
        <w:rFonts w:hint="default"/>
        <w:lang w:val="en-US" w:eastAsia="en-US" w:bidi="en-US"/>
      </w:rPr>
    </w:lvl>
    <w:lvl w:ilvl="7" w:tplc="FD44C870">
      <w:numFmt w:val="bullet"/>
      <w:lvlText w:val="•"/>
      <w:lvlJc w:val="left"/>
      <w:pPr>
        <w:ind w:left="7035" w:hanging="721"/>
      </w:pPr>
      <w:rPr>
        <w:rFonts w:hint="default"/>
        <w:lang w:val="en-US" w:eastAsia="en-US" w:bidi="en-US"/>
      </w:rPr>
    </w:lvl>
    <w:lvl w:ilvl="8" w:tplc="E922556A">
      <w:numFmt w:val="bullet"/>
      <w:lvlText w:val="•"/>
      <w:lvlJc w:val="left"/>
      <w:pPr>
        <w:ind w:left="8130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1A4B76C2"/>
    <w:multiLevelType w:val="hybridMultilevel"/>
    <w:tmpl w:val="835E3B4A"/>
    <w:lvl w:ilvl="0" w:tplc="D3A2645C">
      <w:start w:val="1"/>
      <w:numFmt w:val="upperLetter"/>
      <w:lvlText w:val="%1."/>
      <w:lvlJc w:val="left"/>
      <w:pPr>
        <w:ind w:left="1199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AFAA9DBC">
      <w:start w:val="1"/>
      <w:numFmt w:val="decimal"/>
      <w:lvlText w:val="%2."/>
      <w:lvlJc w:val="left"/>
      <w:pPr>
        <w:ind w:left="1919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E2AA489E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en-US"/>
      </w:rPr>
    </w:lvl>
    <w:lvl w:ilvl="3" w:tplc="4C14288C">
      <w:numFmt w:val="bullet"/>
      <w:lvlText w:val="•"/>
      <w:lvlJc w:val="left"/>
      <w:pPr>
        <w:ind w:left="3786" w:hanging="361"/>
      </w:pPr>
      <w:rPr>
        <w:rFonts w:hint="default"/>
        <w:lang w:val="en-US" w:eastAsia="en-US" w:bidi="en-US"/>
      </w:rPr>
    </w:lvl>
    <w:lvl w:ilvl="4" w:tplc="D1D8D1D6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en-US"/>
      </w:rPr>
    </w:lvl>
    <w:lvl w:ilvl="5" w:tplc="827C5AB6">
      <w:numFmt w:val="bullet"/>
      <w:lvlText w:val="•"/>
      <w:lvlJc w:val="left"/>
      <w:pPr>
        <w:ind w:left="5653" w:hanging="361"/>
      </w:pPr>
      <w:rPr>
        <w:rFonts w:hint="default"/>
        <w:lang w:val="en-US" w:eastAsia="en-US" w:bidi="en-US"/>
      </w:rPr>
    </w:lvl>
    <w:lvl w:ilvl="6" w:tplc="7AAC81C6">
      <w:numFmt w:val="bullet"/>
      <w:lvlText w:val="•"/>
      <w:lvlJc w:val="left"/>
      <w:pPr>
        <w:ind w:left="6586" w:hanging="361"/>
      </w:pPr>
      <w:rPr>
        <w:rFonts w:hint="default"/>
        <w:lang w:val="en-US" w:eastAsia="en-US" w:bidi="en-US"/>
      </w:rPr>
    </w:lvl>
    <w:lvl w:ilvl="7" w:tplc="01DED8BE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en-US"/>
      </w:rPr>
    </w:lvl>
    <w:lvl w:ilvl="8" w:tplc="96665F9A">
      <w:numFmt w:val="bullet"/>
      <w:lvlText w:val="•"/>
      <w:lvlJc w:val="left"/>
      <w:pPr>
        <w:ind w:left="8453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84819E6"/>
    <w:multiLevelType w:val="hybridMultilevel"/>
    <w:tmpl w:val="3D3C6F72"/>
    <w:lvl w:ilvl="0" w:tplc="DEC860F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5D554143"/>
    <w:multiLevelType w:val="hybridMultilevel"/>
    <w:tmpl w:val="E138AB74"/>
    <w:lvl w:ilvl="0" w:tplc="2A0A3366">
      <w:numFmt w:val="bullet"/>
      <w:lvlText w:val=""/>
      <w:lvlJc w:val="left"/>
      <w:pPr>
        <w:ind w:left="840" w:hanging="360"/>
      </w:pPr>
      <w:rPr>
        <w:rFonts w:hint="default"/>
        <w:w w:val="99"/>
        <w:lang w:val="en-US" w:eastAsia="en-US" w:bidi="en-US"/>
      </w:rPr>
    </w:lvl>
    <w:lvl w:ilvl="1" w:tplc="52864252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2" w:tplc="D890B7E4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3" w:tplc="442CD69C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4" w:tplc="B51EC4CC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en-US"/>
      </w:rPr>
    </w:lvl>
    <w:lvl w:ilvl="5" w:tplc="51D851F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10D621FE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571051EC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  <w:lvl w:ilvl="8" w:tplc="1D627E6A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D3E77C1"/>
    <w:multiLevelType w:val="hybridMultilevel"/>
    <w:tmpl w:val="0A4C6E18"/>
    <w:lvl w:ilvl="0" w:tplc="1A22D39E">
      <w:start w:val="1"/>
      <w:numFmt w:val="upperRoman"/>
      <w:lvlText w:val="%1."/>
      <w:lvlJc w:val="left"/>
      <w:pPr>
        <w:ind w:left="840" w:hanging="721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n-US" w:eastAsia="en-US" w:bidi="en-US"/>
      </w:rPr>
    </w:lvl>
    <w:lvl w:ilvl="1" w:tplc="F8CC5470">
      <w:start w:val="1"/>
      <w:numFmt w:val="upperLetter"/>
      <w:lvlText w:val="%2."/>
      <w:lvlJc w:val="left"/>
      <w:pPr>
        <w:ind w:left="1200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E450903E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3E4C692A">
      <w:numFmt w:val="bullet"/>
      <w:lvlText w:val="•"/>
      <w:lvlJc w:val="left"/>
      <w:pPr>
        <w:ind w:left="3226" w:hanging="361"/>
      </w:pPr>
      <w:rPr>
        <w:rFonts w:hint="default"/>
        <w:lang w:val="en-US" w:eastAsia="en-US" w:bidi="en-US"/>
      </w:rPr>
    </w:lvl>
    <w:lvl w:ilvl="4" w:tplc="C7F82B9A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FBA44DE0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en-US"/>
      </w:rPr>
    </w:lvl>
    <w:lvl w:ilvl="6" w:tplc="D9982DF4">
      <w:numFmt w:val="bullet"/>
      <w:lvlText w:val="•"/>
      <w:lvlJc w:val="left"/>
      <w:pPr>
        <w:ind w:left="6266" w:hanging="361"/>
      </w:pPr>
      <w:rPr>
        <w:rFonts w:hint="default"/>
        <w:lang w:val="en-US" w:eastAsia="en-US" w:bidi="en-US"/>
      </w:rPr>
    </w:lvl>
    <w:lvl w:ilvl="7" w:tplc="444CAB12">
      <w:numFmt w:val="bullet"/>
      <w:lvlText w:val="•"/>
      <w:lvlJc w:val="left"/>
      <w:pPr>
        <w:ind w:left="7280" w:hanging="361"/>
      </w:pPr>
      <w:rPr>
        <w:rFonts w:hint="default"/>
        <w:lang w:val="en-US" w:eastAsia="en-US" w:bidi="en-US"/>
      </w:rPr>
    </w:lvl>
    <w:lvl w:ilvl="8" w:tplc="5A88A7CC">
      <w:numFmt w:val="bullet"/>
      <w:lvlText w:val="•"/>
      <w:lvlJc w:val="left"/>
      <w:pPr>
        <w:ind w:left="8293" w:hanging="361"/>
      </w:pPr>
      <w:rPr>
        <w:rFonts w:hint="default"/>
        <w:lang w:val="en-US" w:eastAsia="en-US" w:bidi="en-US"/>
      </w:rPr>
    </w:lvl>
  </w:abstractNum>
  <w:num w:numId="1" w16cid:durableId="2041856456">
    <w:abstractNumId w:val="1"/>
  </w:num>
  <w:num w:numId="2" w16cid:durableId="1244560463">
    <w:abstractNumId w:val="4"/>
  </w:num>
  <w:num w:numId="3" w16cid:durableId="697002602">
    <w:abstractNumId w:val="3"/>
  </w:num>
  <w:num w:numId="4" w16cid:durableId="1275408692">
    <w:abstractNumId w:val="0"/>
  </w:num>
  <w:num w:numId="5" w16cid:durableId="1247615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wNDQ1NzO1NDE3MbRU0lEKTi0uzszPAykwrAUAu3szzywAAAA="/>
  </w:docVars>
  <w:rsids>
    <w:rsidRoot w:val="006D4DCF"/>
    <w:rsid w:val="00010F4A"/>
    <w:rsid w:val="00013BD2"/>
    <w:rsid w:val="000451FD"/>
    <w:rsid w:val="000566E6"/>
    <w:rsid w:val="000F0FB0"/>
    <w:rsid w:val="001115E3"/>
    <w:rsid w:val="0017557C"/>
    <w:rsid w:val="001850E1"/>
    <w:rsid w:val="00207FEB"/>
    <w:rsid w:val="00236079"/>
    <w:rsid w:val="00245111"/>
    <w:rsid w:val="002743DA"/>
    <w:rsid w:val="002B6BB2"/>
    <w:rsid w:val="002E2336"/>
    <w:rsid w:val="00320B95"/>
    <w:rsid w:val="00385E17"/>
    <w:rsid w:val="003B171E"/>
    <w:rsid w:val="00467F5E"/>
    <w:rsid w:val="00492CF1"/>
    <w:rsid w:val="004E6412"/>
    <w:rsid w:val="00500C80"/>
    <w:rsid w:val="00511760"/>
    <w:rsid w:val="005B1CE0"/>
    <w:rsid w:val="00676E6D"/>
    <w:rsid w:val="006D4DCF"/>
    <w:rsid w:val="00737928"/>
    <w:rsid w:val="00741270"/>
    <w:rsid w:val="00794D61"/>
    <w:rsid w:val="00835DCD"/>
    <w:rsid w:val="00840C4F"/>
    <w:rsid w:val="00891032"/>
    <w:rsid w:val="009074CF"/>
    <w:rsid w:val="00937FC7"/>
    <w:rsid w:val="009A4647"/>
    <w:rsid w:val="009B196F"/>
    <w:rsid w:val="00AE0C43"/>
    <w:rsid w:val="00B05659"/>
    <w:rsid w:val="00B71040"/>
    <w:rsid w:val="00B81B00"/>
    <w:rsid w:val="00BD17A8"/>
    <w:rsid w:val="00C624DF"/>
    <w:rsid w:val="00C76194"/>
    <w:rsid w:val="00D55451"/>
    <w:rsid w:val="00E41C9B"/>
    <w:rsid w:val="00F1621F"/>
    <w:rsid w:val="00F2390D"/>
    <w:rsid w:val="00F53082"/>
    <w:rsid w:val="00F8336A"/>
    <w:rsid w:val="00F83CE4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26A5D"/>
  <w15:docId w15:val="{2EED0CD1-06C0-4395-9CE3-92D3979E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1"/>
      <w:ind w:left="2136" w:right="2136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40" w:hanging="7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D554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Revision">
    <w:name w:val="Revision"/>
    <w:hidden/>
    <w:uiPriority w:val="99"/>
    <w:semiHidden/>
    <w:rsid w:val="00320B95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0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C80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C80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tracking.ehs.state.ma.us/Environmental-Data/ej-vulnerable-health/environmental-justic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ss-eoeea.maps.arcgis.com/apps/MapSeries/index.html?appid=535e4419dc0545be980545a0eeaf9b5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media/2382671/downloa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ass.gov/media/2382671/downlo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FEBD532E5C4B9E7BDE0562433301" ma:contentTypeVersion="11" ma:contentTypeDescription="Create a new document." ma:contentTypeScope="" ma:versionID="913df82a818a0de075a954fa5723ab8b">
  <xsd:schema xmlns:xsd="http://www.w3.org/2001/XMLSchema" xmlns:xs="http://www.w3.org/2001/XMLSchema" xmlns:p="http://schemas.microsoft.com/office/2006/metadata/properties" xmlns:ns2="1a6812d0-d611-4cd4-a9d2-8432a8e82391" xmlns:ns3="f3e72aae-9823-40da-be9a-ecdaa42e5218" targetNamespace="http://schemas.microsoft.com/office/2006/metadata/properties" ma:root="true" ma:fieldsID="8c2c5d7cceccdb0d3ca449d882745b3b" ns2:_="" ns3:_="">
    <xsd:import namespace="1a6812d0-d611-4cd4-a9d2-8432a8e82391"/>
    <xsd:import namespace="f3e72aae-9823-40da-be9a-ecdaa42e5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12d0-d611-4cd4-a9d2-8432a8e8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2aae-9823-40da-be9a-ecdaa42e5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05599-A126-4C02-99D7-C83AF130D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12d0-d611-4cd4-a9d2-8432a8e82391"/>
    <ds:schemaRef ds:uri="f3e72aae-9823-40da-be9a-ecdaa42e5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26607-6263-4782-AE22-0909A2CA2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A55CA-A1E1-4ABA-A094-67F3D13D2B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Czepiga, Page (EEA)</dc:creator>
  <cp:lastModifiedBy>Gallant, Danielle (Lemoi)</cp:lastModifiedBy>
  <cp:revision>3</cp:revision>
  <dcterms:created xsi:type="dcterms:W3CDTF">2023-06-05T11:53:00Z</dcterms:created>
  <dcterms:modified xsi:type="dcterms:W3CDTF">2023-06-05T11:54:00Z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2022-01-11T00:00:00Z</vt:filetime>
  </property>
  <property fmtid="{D5CDD505-2E9C-101B-9397-08002B2CF9AE}" pid="5" name="ContentTypeId">
    <vt:lpwstr>0x0101002CE1FEBD532E5C4B9E7BDE0562433301</vt:lpwstr>
  </property>
</Properties>
</file>